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"/>
        <w:gridCol w:w="2950"/>
      </w:tblGrid>
      <w:tr w:rsidR="00F62E18" w:rsidTr="00886EE2">
        <w:trPr>
          <w:trHeight w:val="8496"/>
        </w:trPr>
        <w:tc>
          <w:tcPr>
            <w:tcW w:w="447" w:type="dxa"/>
          </w:tcPr>
          <w:p w:rsidR="00F62E18" w:rsidRDefault="00F62E18">
            <w:r>
              <w:t>S</w:t>
            </w:r>
          </w:p>
        </w:tc>
        <w:tc>
          <w:tcPr>
            <w:tcW w:w="2950" w:type="dxa"/>
            <w:shd w:val="clear" w:color="auto" w:fill="FBE4D5" w:themeFill="accent2" w:themeFillTint="33"/>
          </w:tcPr>
          <w:p w:rsidR="001D235F" w:rsidRDefault="001D235F">
            <w:r w:rsidRPr="001D235F">
              <w:rPr>
                <w:b/>
              </w:rPr>
              <w:t>SIMPLY</w:t>
            </w:r>
            <w:r>
              <w:t xml:space="preserve"> answer the question:</w:t>
            </w:r>
          </w:p>
          <w:p w:rsidR="001D235F" w:rsidRDefault="001D235F"/>
          <w:p w:rsidR="001D235F" w:rsidRDefault="001D235F">
            <w:r>
              <w:t>‘The poet in 1</w:t>
            </w:r>
            <w:r w:rsidRPr="001D235F">
              <w:rPr>
                <w:vertAlign w:val="superscript"/>
              </w:rPr>
              <w:t>st</w:t>
            </w:r>
            <w:r>
              <w:t xml:space="preserve"> poem shows that KEY WORD IN QUESTION is ANSWER IN YOUR OWN WORDS       </w:t>
            </w:r>
            <w:proofErr w:type="gramStart"/>
            <w:r>
              <w:t xml:space="preserve">  ,</w:t>
            </w:r>
            <w:proofErr w:type="gramEnd"/>
            <w:r>
              <w:t xml:space="preserve"> whereas the poet in 2</w:t>
            </w:r>
            <w:r w:rsidRPr="001D235F">
              <w:rPr>
                <w:vertAlign w:val="superscript"/>
              </w:rPr>
              <w:t>nd</w:t>
            </w:r>
            <w:r>
              <w:t xml:space="preserve"> poem shows that KWIQ is ANSWER IN YOUR OWN WORDS.</w:t>
            </w:r>
          </w:p>
          <w:p w:rsidR="001D235F" w:rsidRDefault="001D235F"/>
          <w:p w:rsidR="00F62E18" w:rsidRDefault="001D235F">
            <w:pPr>
              <w:rPr>
                <w:b/>
              </w:rPr>
            </w:pPr>
            <w:r>
              <w:t xml:space="preserve">Comment on the </w:t>
            </w:r>
            <w:r w:rsidRPr="001D235F">
              <w:rPr>
                <w:b/>
              </w:rPr>
              <w:t>STRUCTURE</w:t>
            </w:r>
            <w:r w:rsidR="00F62E18">
              <w:t xml:space="preserve"> of the</w:t>
            </w:r>
            <w:r w:rsidR="00F62E18" w:rsidRPr="00886EE2">
              <w:rPr>
                <w:b/>
              </w:rPr>
              <w:t xml:space="preserve"> two</w:t>
            </w:r>
            <w:r w:rsidR="00F62E18">
              <w:t xml:space="preserve"> poems. Make it relevant to an analytical essay and also to the </w:t>
            </w:r>
            <w:r>
              <w:rPr>
                <w:b/>
              </w:rPr>
              <w:t>KWIQ.</w:t>
            </w:r>
          </w:p>
          <w:p w:rsidR="001D235F" w:rsidRDefault="001D235F"/>
          <w:p w:rsidR="00F62E18" w:rsidRDefault="00F62E18">
            <w:r>
              <w:t>Use the features for points:</w:t>
            </w:r>
          </w:p>
          <w:p w:rsidR="00F62E18" w:rsidRDefault="00F62E18">
            <w:r w:rsidRPr="00886EE2">
              <w:rPr>
                <w:b/>
              </w:rPr>
              <w:t>Sonnet</w:t>
            </w:r>
            <w:r>
              <w:t xml:space="preserve">: shift of tone after the </w:t>
            </w:r>
            <w:proofErr w:type="spellStart"/>
            <w:r>
              <w:t>volta</w:t>
            </w:r>
            <w:proofErr w:type="spellEnd"/>
            <w:r>
              <w:t>, rhyme patte</w:t>
            </w:r>
            <w:r w:rsidR="00C35660">
              <w:t>r</w:t>
            </w:r>
            <w:r>
              <w:t>n (especially if broken)</w:t>
            </w:r>
          </w:p>
          <w:p w:rsidR="001D235F" w:rsidRDefault="001D235F"/>
          <w:p w:rsidR="00F62E18" w:rsidRDefault="00F62E18">
            <w:r w:rsidRPr="00886EE2">
              <w:rPr>
                <w:b/>
              </w:rPr>
              <w:t>Villanelle</w:t>
            </w:r>
            <w:r>
              <w:t>: The repetition –comment on the difference between ‘</w:t>
            </w:r>
            <w:r w:rsidRPr="0088699A">
              <w:rPr>
                <w:b/>
              </w:rPr>
              <w:t>Do not Go’</w:t>
            </w:r>
            <w:r>
              <w:t xml:space="preserve"> and ‘rage, rage’.</w:t>
            </w:r>
          </w:p>
          <w:p w:rsidR="001D235F" w:rsidRDefault="001D235F"/>
          <w:p w:rsidR="00F62E18" w:rsidRDefault="00F62E18">
            <w:pPr>
              <w:rPr>
                <w:b/>
              </w:rPr>
            </w:pPr>
            <w:r w:rsidRPr="00886EE2">
              <w:rPr>
                <w:b/>
              </w:rPr>
              <w:t>Ballad:</w:t>
            </w:r>
            <w:r>
              <w:t xml:space="preserve"> A simple, childish innocence hiding a darker story in </w:t>
            </w:r>
            <w:r w:rsidR="0088699A">
              <w:t>‘</w:t>
            </w:r>
            <w:r w:rsidRPr="0088699A">
              <w:rPr>
                <w:b/>
              </w:rPr>
              <w:t>Belle Dame</w:t>
            </w:r>
            <w:r w:rsidR="0088699A">
              <w:rPr>
                <w:b/>
              </w:rPr>
              <w:t>’</w:t>
            </w:r>
          </w:p>
          <w:p w:rsidR="001D235F" w:rsidRDefault="001D235F"/>
          <w:p w:rsidR="00F62E18" w:rsidRDefault="00F62E18">
            <w:r w:rsidRPr="00886EE2">
              <w:rPr>
                <w:b/>
              </w:rPr>
              <w:t>Free Verse:</w:t>
            </w:r>
            <w:r>
              <w:t xml:space="preserve"> ‘allows the writer the freedom to use words/structure/form for effect –then find an </w:t>
            </w:r>
            <w:proofErr w:type="gramStart"/>
            <w:r>
              <w:t>example  -</w:t>
            </w:r>
            <w:proofErr w:type="gramEnd"/>
            <w:r>
              <w:t>usually the one word line, or powerful and surprising words…</w:t>
            </w:r>
          </w:p>
          <w:p w:rsidR="001D235F" w:rsidRDefault="001D235F"/>
          <w:p w:rsidR="00F62E18" w:rsidRDefault="00F62E18">
            <w:r w:rsidRPr="00886EE2">
              <w:rPr>
                <w:b/>
              </w:rPr>
              <w:t>Dramatic Monologue</w:t>
            </w:r>
            <w:r>
              <w:t xml:space="preserve"> – powerful block structure reflecting the hectoring tone of the Duke…</w:t>
            </w:r>
            <w:r w:rsidR="0088699A">
              <w:t xml:space="preserve"> </w:t>
            </w:r>
            <w:r w:rsidR="0088699A" w:rsidRPr="0088699A">
              <w:rPr>
                <w:b/>
              </w:rPr>
              <w:t>My Last D</w:t>
            </w:r>
          </w:p>
          <w:p w:rsidR="00F62E18" w:rsidRDefault="00F62E18">
            <w:r w:rsidRPr="00886EE2">
              <w:rPr>
                <w:b/>
              </w:rPr>
              <w:t>Indented lines and lengthening stanzas</w:t>
            </w:r>
            <w:r>
              <w:t xml:space="preserve"> – a sense of urgency in </w:t>
            </w:r>
            <w:r w:rsidRPr="001D235F">
              <w:rPr>
                <w:b/>
              </w:rPr>
              <w:t>PB4B</w:t>
            </w:r>
            <w:r>
              <w:t xml:space="preserve"> and focus on the message in the sudden short stanzas.</w:t>
            </w:r>
          </w:p>
        </w:tc>
      </w:tr>
      <w:tr w:rsidR="00F62E18" w:rsidTr="00886EE2">
        <w:trPr>
          <w:trHeight w:val="3102"/>
        </w:trPr>
        <w:tc>
          <w:tcPr>
            <w:tcW w:w="447" w:type="dxa"/>
          </w:tcPr>
          <w:p w:rsidR="00F62E18" w:rsidRDefault="00886EE2">
            <w:r>
              <w:lastRenderedPageBreak/>
              <w:t xml:space="preserve">    </w:t>
            </w:r>
            <w:r w:rsidR="00F62E18">
              <w:t>L</w:t>
            </w:r>
          </w:p>
        </w:tc>
        <w:tc>
          <w:tcPr>
            <w:tcW w:w="2950" w:type="dxa"/>
            <w:shd w:val="clear" w:color="auto" w:fill="F4B083" w:themeFill="accent2" w:themeFillTint="99"/>
          </w:tcPr>
          <w:p w:rsidR="001D235F" w:rsidRDefault="001D235F">
            <w:r>
              <w:t>Look at the</w:t>
            </w:r>
            <w:r w:rsidR="00F62E18">
              <w:t xml:space="preserve"> </w:t>
            </w:r>
            <w:r>
              <w:rPr>
                <w:b/>
              </w:rPr>
              <w:t xml:space="preserve">LANGUAGE, what’s the general mood or TONE? </w:t>
            </w:r>
            <w:r w:rsidRPr="001D235F">
              <w:t>(it might change – positive to negative for example)</w:t>
            </w:r>
            <w:r>
              <w:rPr>
                <w:b/>
              </w:rPr>
              <w:t>.</w:t>
            </w:r>
            <w:r w:rsidR="00886EE2">
              <w:rPr>
                <w:b/>
              </w:rPr>
              <w:t xml:space="preserve"> </w:t>
            </w:r>
            <w:r>
              <w:t xml:space="preserve">Pick out a few devices such as </w:t>
            </w:r>
            <w:proofErr w:type="spellStart"/>
            <w:r>
              <w:t>onomatopoieia</w:t>
            </w:r>
            <w:proofErr w:type="spellEnd"/>
            <w:r>
              <w:t>, allit</w:t>
            </w:r>
            <w:r w:rsidR="00F62E18">
              <w:t xml:space="preserve">eration, assonance, </w:t>
            </w:r>
            <w:proofErr w:type="spellStart"/>
            <w:r w:rsidR="00F62E18">
              <w:t>oxymorons</w:t>
            </w:r>
            <w:proofErr w:type="spellEnd"/>
            <w:r w:rsidR="00F62E18">
              <w:t xml:space="preserve">. </w:t>
            </w:r>
          </w:p>
          <w:p w:rsidR="001D235F" w:rsidRDefault="001D235F"/>
          <w:p w:rsidR="00F62E18" w:rsidRDefault="00F62E18">
            <w:r>
              <w:t xml:space="preserve">Save the figurative for the next section. This is a good time for a ‘while both use much…., there is a difference between them in the use of….’ As a </w:t>
            </w:r>
            <w:r w:rsidR="0088699A">
              <w:t>shift</w:t>
            </w:r>
            <w:r>
              <w:t xml:space="preserve"> within the paragraph.</w:t>
            </w:r>
          </w:p>
          <w:p w:rsidR="001D235F" w:rsidRDefault="001D235F"/>
          <w:p w:rsidR="00886EE2" w:rsidRDefault="00F62E18">
            <w:r>
              <w:t xml:space="preserve">Is one poem direct and straightforward? Is there a clear linguistic trope </w:t>
            </w:r>
            <w:r w:rsidR="001D235F">
              <w:t xml:space="preserve">(pattern) </w:t>
            </w:r>
            <w:r>
              <w:t>which exists because one is spoken by a persona</w:t>
            </w:r>
            <w:r w:rsidR="001D235F">
              <w:t xml:space="preserve"> (character in a poem)</w:t>
            </w:r>
            <w:r>
              <w:t>?</w:t>
            </w:r>
          </w:p>
        </w:tc>
      </w:tr>
      <w:tr w:rsidR="00F62E18" w:rsidTr="00886EE2">
        <w:trPr>
          <w:trHeight w:val="5094"/>
        </w:trPr>
        <w:tc>
          <w:tcPr>
            <w:tcW w:w="447" w:type="dxa"/>
          </w:tcPr>
          <w:p w:rsidR="00F62E18" w:rsidRDefault="00F62E18">
            <w:r>
              <w:t>I</w:t>
            </w:r>
          </w:p>
        </w:tc>
        <w:tc>
          <w:tcPr>
            <w:tcW w:w="2950" w:type="dxa"/>
            <w:shd w:val="clear" w:color="auto" w:fill="FFE599" w:themeFill="accent4" w:themeFillTint="66"/>
          </w:tcPr>
          <w:p w:rsidR="001D235F" w:rsidRDefault="00F62E18">
            <w:r>
              <w:t xml:space="preserve">Explore the </w:t>
            </w:r>
            <w:r w:rsidRPr="00886EE2">
              <w:rPr>
                <w:b/>
              </w:rPr>
              <w:t>figurative</w:t>
            </w:r>
            <w:r w:rsidR="001D235F">
              <w:rPr>
                <w:b/>
              </w:rPr>
              <w:t xml:space="preserve"> (imaginative side to language, not the literal)</w:t>
            </w:r>
            <w:r>
              <w:t xml:space="preserve">. </w:t>
            </w:r>
          </w:p>
          <w:p w:rsidR="001D235F" w:rsidRDefault="001D235F"/>
          <w:p w:rsidR="00F62E18" w:rsidRDefault="00F62E18">
            <w:r>
              <w:t xml:space="preserve">Do not just quote a simile or metaphor, but </w:t>
            </w:r>
            <w:r w:rsidRPr="00886EE2">
              <w:rPr>
                <w:b/>
              </w:rPr>
              <w:t xml:space="preserve">unpack </w:t>
            </w:r>
            <w:r>
              <w:t xml:space="preserve">it to show how it works… Ask yourself </w:t>
            </w:r>
            <w:r w:rsidRPr="00886EE2">
              <w:rPr>
                <w:b/>
              </w:rPr>
              <w:t xml:space="preserve">why </w:t>
            </w:r>
            <w:r>
              <w:t>the poet chose that specific metaphor (</w:t>
            </w:r>
            <w:r w:rsidR="001D235F">
              <w:t xml:space="preserve">Shakespeare’s us of the </w:t>
            </w:r>
            <w:r>
              <w:t xml:space="preserve">‘the star to every </w:t>
            </w:r>
            <w:proofErr w:type="spellStart"/>
            <w:r>
              <w:t>wand’ring</w:t>
            </w:r>
            <w:proofErr w:type="spellEnd"/>
            <w:r>
              <w:t xml:space="preserve"> bark</w:t>
            </w:r>
            <w:proofErr w:type="gramStart"/>
            <w:r w:rsidR="001D235F">
              <w:t xml:space="preserve">’ </w:t>
            </w:r>
            <w:r>
              <w:t xml:space="preserve"> </w:t>
            </w:r>
            <w:r w:rsidR="001D235F">
              <w:t>suggests</w:t>
            </w:r>
            <w:proofErr w:type="gramEnd"/>
            <w:r w:rsidR="001D235F">
              <w:t xml:space="preserve"> that like the pole star, love can help navigate or guide us through life.</w:t>
            </w:r>
          </w:p>
          <w:p w:rsidR="001D235F" w:rsidRDefault="001D235F"/>
          <w:p w:rsidR="00886EE2" w:rsidRDefault="00886EE2" w:rsidP="001D235F">
            <w:r>
              <w:t xml:space="preserve">This is a good section to look for other types of </w:t>
            </w:r>
            <w:r w:rsidRPr="00886EE2">
              <w:rPr>
                <w:b/>
              </w:rPr>
              <w:t>metaphor</w:t>
            </w:r>
            <w:r>
              <w:t xml:space="preserve"> –</w:t>
            </w:r>
            <w:r w:rsidRPr="00886EE2">
              <w:rPr>
                <w:b/>
              </w:rPr>
              <w:t>personification for example, or euphemism</w:t>
            </w:r>
            <w:r w:rsidR="001D235F">
              <w:rPr>
                <w:b/>
              </w:rPr>
              <w:t xml:space="preserve"> (a less direct way of saying something taboo)</w:t>
            </w:r>
            <w:bookmarkStart w:id="0" w:name="_GoBack"/>
            <w:bookmarkEnd w:id="0"/>
            <w:r>
              <w:t>.</w:t>
            </w:r>
            <w:r w:rsidR="0088699A">
              <w:t xml:space="preserve"> ALWAYS link to </w:t>
            </w:r>
            <w:r w:rsidR="001D235F">
              <w:t>KWIQ OR SYNNONYM OF IT</w:t>
            </w:r>
            <w:r w:rsidR="0088699A">
              <w:t>!!</w:t>
            </w:r>
          </w:p>
        </w:tc>
      </w:tr>
      <w:tr w:rsidR="00F62E18" w:rsidTr="00886EE2">
        <w:trPr>
          <w:trHeight w:val="5306"/>
        </w:trPr>
        <w:tc>
          <w:tcPr>
            <w:tcW w:w="447" w:type="dxa"/>
          </w:tcPr>
          <w:p w:rsidR="00F62E18" w:rsidRDefault="00F62E18">
            <w:r>
              <w:lastRenderedPageBreak/>
              <w:t>M</w:t>
            </w:r>
          </w:p>
        </w:tc>
        <w:tc>
          <w:tcPr>
            <w:tcW w:w="2950" w:type="dxa"/>
            <w:shd w:val="clear" w:color="auto" w:fill="8EAADB" w:themeFill="accent5" w:themeFillTint="99"/>
          </w:tcPr>
          <w:p w:rsidR="00F62E18" w:rsidRDefault="00886EE2">
            <w:r w:rsidRPr="00886EE2">
              <w:rPr>
                <w:b/>
              </w:rPr>
              <w:t>What are the poets trying to say? What messages</w:t>
            </w:r>
            <w:r>
              <w:t xml:space="preserve"> are they trying to put across and how do they differ. Consider in a ‘love cluster’ pair how many different angles there are – parental/dead, parental/alive, female persona, male persona, romantic, didactic…</w:t>
            </w:r>
          </w:p>
          <w:p w:rsidR="00886EE2" w:rsidRDefault="00886EE2">
            <w:r>
              <w:t>Try to explore briefly any aspects of language you can see which relate to the presentation of the message. Ask yourself ‘how…?’</w:t>
            </w:r>
          </w:p>
        </w:tc>
      </w:tr>
      <w:tr w:rsidR="00F62E18" w:rsidTr="00886EE2">
        <w:trPr>
          <w:trHeight w:val="3195"/>
        </w:trPr>
        <w:tc>
          <w:tcPr>
            <w:tcW w:w="447" w:type="dxa"/>
          </w:tcPr>
          <w:p w:rsidR="00F62E18" w:rsidRDefault="00F62E18">
            <w:r>
              <w:t>E</w:t>
            </w:r>
          </w:p>
        </w:tc>
        <w:tc>
          <w:tcPr>
            <w:tcW w:w="2950" w:type="dxa"/>
            <w:shd w:val="clear" w:color="auto" w:fill="C5E0B3" w:themeFill="accent6" w:themeFillTint="66"/>
          </w:tcPr>
          <w:p w:rsidR="00F62E18" w:rsidRDefault="00886EE2">
            <w:r>
              <w:t xml:space="preserve">Get out of here and on to the next question! A short </w:t>
            </w:r>
            <w:r w:rsidRPr="00886EE2">
              <w:rPr>
                <w:b/>
              </w:rPr>
              <w:t>summary</w:t>
            </w:r>
            <w:r>
              <w:t xml:space="preserve"> of the key points made above and be sure to make a clear link back to the question.</w:t>
            </w:r>
          </w:p>
        </w:tc>
      </w:tr>
    </w:tbl>
    <w:p w:rsidR="00CC69FC" w:rsidRDefault="00CC69FC"/>
    <w:sectPr w:rsidR="00CC69FC" w:rsidSect="001D235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18"/>
    <w:rsid w:val="001D235F"/>
    <w:rsid w:val="0088699A"/>
    <w:rsid w:val="00886EE2"/>
    <w:rsid w:val="00C35660"/>
    <w:rsid w:val="00CC69FC"/>
    <w:rsid w:val="00F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0808"/>
  <w15:chartTrackingRefBased/>
  <w15:docId w15:val="{F2585DC9-0D06-4A05-A33D-814719A5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 Lyon School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Peel</dc:creator>
  <cp:keywords/>
  <dc:description/>
  <cp:lastModifiedBy>Ballantyne H C</cp:lastModifiedBy>
  <cp:revision>3</cp:revision>
  <cp:lastPrinted>2019-04-26T08:38:00Z</cp:lastPrinted>
  <dcterms:created xsi:type="dcterms:W3CDTF">2019-04-26T08:43:00Z</dcterms:created>
  <dcterms:modified xsi:type="dcterms:W3CDTF">2019-10-09T10:31:00Z</dcterms:modified>
</cp:coreProperties>
</file>