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0B" w:rsidRPr="001222D1" w:rsidRDefault="00B17AC6" w:rsidP="001222D1">
      <w:pPr>
        <w:pStyle w:val="Heading1"/>
      </w:pPr>
      <w:bookmarkStart w:id="0" w:name="_GoBack"/>
      <w:bookmarkEnd w:id="0"/>
      <w:r w:rsidRPr="001222D1">
        <w:t>Task one</w:t>
      </w:r>
    </w:p>
    <w:p w:rsidR="00B17AC6" w:rsidRPr="001222D1" w:rsidRDefault="009F71A0" w:rsidP="001222D1">
      <w:pPr>
        <w:rPr>
          <w:szCs w:val="22"/>
        </w:rPr>
      </w:pPr>
      <w:r w:rsidRPr="001222D1">
        <w:rPr>
          <w:szCs w:val="22"/>
        </w:rPr>
        <w:t>Match up each</w:t>
      </w:r>
      <w:r w:rsidR="00B17AC6" w:rsidRPr="001222D1">
        <w:rPr>
          <w:szCs w:val="22"/>
        </w:rPr>
        <w:t xml:space="preserve"> quotation from the text with the technique </w:t>
      </w:r>
      <w:r w:rsidRPr="001222D1">
        <w:rPr>
          <w:szCs w:val="22"/>
        </w:rPr>
        <w:t xml:space="preserve">or word class </w:t>
      </w:r>
      <w:r w:rsidR="00B17AC6" w:rsidRPr="001222D1">
        <w:rPr>
          <w:szCs w:val="22"/>
        </w:rPr>
        <w:t>used.</w:t>
      </w:r>
    </w:p>
    <w:p w:rsidR="00B17AC6" w:rsidRPr="001222D1" w:rsidRDefault="00B17AC6" w:rsidP="001222D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39"/>
        <w:gridCol w:w="1361"/>
        <w:gridCol w:w="4139"/>
      </w:tblGrid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‘We’ll check … against the Article 10s …’ ‘official forms’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Verbs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‘as if someone had punched it, hard, from within’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Italicized letters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‘Infinite caution’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Alliteration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‘She is a conjuring trick.’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Repetitious use of a conjunction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‘practised … anchoring … gripping’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Disjointed pattern of short sentences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‘fizzing and fusing’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Single sentence word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‘It was the wrong bird … the smaller one’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Use of suspense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</w:t>
            </w:r>
            <w:r w:rsidRPr="001222D1">
              <w:rPr>
                <w:rFonts w:ascii="Trebuchet MS" w:hAnsi="Trebuchet MS"/>
                <w:i/>
                <w:szCs w:val="22"/>
              </w:rPr>
              <w:t>Oh</w:t>
            </w:r>
            <w:r w:rsidRPr="001222D1">
              <w:rPr>
                <w:rFonts w:ascii="Trebuchet MS" w:hAnsi="Trebuchet MS"/>
                <w:szCs w:val="22"/>
              </w:rPr>
              <w:t>.’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Adjectives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‘and darker and … bigger … and the sound…’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Compound words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</w:t>
            </w:r>
            <w:r w:rsidRPr="001222D1">
              <w:rPr>
                <w:rFonts w:ascii="Trebuchet MS" w:hAnsi="Trebuchet MS"/>
                <w:i/>
                <w:szCs w:val="22"/>
              </w:rPr>
              <w:t>This isn’t my hawk.’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Simile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‘white-faced … wind wrecked’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Short metaphorical sentence</w:t>
            </w:r>
          </w:p>
        </w:tc>
      </w:tr>
      <w:tr w:rsidR="001222D1" w:rsidRPr="001222D1" w:rsidTr="001222D1">
        <w:trPr>
          <w:trHeight w:val="907"/>
        </w:trPr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1222D1" w:rsidRPr="001222D1" w:rsidRDefault="001222D1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‘There was a moment of total silence.’</w:t>
            </w:r>
          </w:p>
        </w:tc>
        <w:tc>
          <w:tcPr>
            <w:tcW w:w="1361" w:type="dxa"/>
            <w:tcBorders>
              <w:top w:val="nil"/>
              <w:left w:val="single" w:sz="8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1222D1" w:rsidRPr="001222D1" w:rsidRDefault="001222D1" w:rsidP="001222D1">
            <w:pPr>
              <w:rPr>
                <w:szCs w:val="22"/>
              </w:rPr>
            </w:pPr>
          </w:p>
        </w:tc>
        <w:tc>
          <w:tcPr>
            <w:tcW w:w="413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:rsidR="001222D1" w:rsidRPr="001222D1" w:rsidRDefault="001222D1" w:rsidP="001222D1">
            <w:pPr>
              <w:ind w:left="283" w:right="283"/>
              <w:jc w:val="center"/>
              <w:rPr>
                <w:rFonts w:ascii="Trebuchet MS" w:hAnsi="Trebuchet MS"/>
                <w:sz w:val="24"/>
                <w:szCs w:val="22"/>
              </w:rPr>
            </w:pPr>
            <w:r w:rsidRPr="001222D1">
              <w:rPr>
                <w:rFonts w:ascii="Trebuchet MS" w:hAnsi="Trebuchet MS"/>
                <w:sz w:val="24"/>
                <w:szCs w:val="22"/>
              </w:rPr>
              <w:t>Dry legal language</w:t>
            </w:r>
          </w:p>
        </w:tc>
      </w:tr>
    </w:tbl>
    <w:p w:rsidR="00B17AC6" w:rsidRPr="001222D1" w:rsidRDefault="00B17AC6" w:rsidP="001222D1">
      <w:pPr>
        <w:rPr>
          <w:szCs w:val="22"/>
        </w:rPr>
      </w:pPr>
    </w:p>
    <w:p w:rsidR="00B17AC6" w:rsidRPr="001222D1" w:rsidRDefault="00B17AC6" w:rsidP="001222D1">
      <w:pPr>
        <w:pStyle w:val="Heading1"/>
        <w:spacing w:before="240"/>
      </w:pPr>
      <w:r w:rsidRPr="001222D1">
        <w:t>Task two</w:t>
      </w:r>
    </w:p>
    <w:p w:rsidR="00B17AC6" w:rsidRDefault="00B17AC6" w:rsidP="001222D1">
      <w:pPr>
        <w:rPr>
          <w:szCs w:val="22"/>
        </w:rPr>
      </w:pPr>
      <w:r w:rsidRPr="001222D1">
        <w:rPr>
          <w:szCs w:val="22"/>
        </w:rPr>
        <w:t>Now consider why the techniques have been used and note down your ideas for each.</w:t>
      </w:r>
    </w:p>
    <w:p w:rsidR="001222D1" w:rsidRDefault="001222D1" w:rsidP="001222D1">
      <w:pPr>
        <w:rPr>
          <w:szCs w:val="22"/>
        </w:rPr>
        <w:sectPr w:rsidR="001222D1" w:rsidSect="00B55A21">
          <w:headerReference w:type="default" r:id="rId6"/>
          <w:footerReference w:type="default" r:id="rId7"/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p w:rsidR="00B17AC6" w:rsidRPr="001222D1" w:rsidRDefault="00B17AC6" w:rsidP="001222D1">
      <w:pPr>
        <w:pStyle w:val="Heading1"/>
      </w:pPr>
      <w:r w:rsidRPr="001222D1">
        <w:lastRenderedPageBreak/>
        <w:t>Teacher’s answer sheet</w:t>
      </w:r>
    </w:p>
    <w:p w:rsidR="009F71A0" w:rsidRPr="001222D1" w:rsidRDefault="009F71A0" w:rsidP="001222D1">
      <w:pPr>
        <w:rPr>
          <w:szCs w:val="22"/>
        </w:rPr>
      </w:pPr>
      <w:r w:rsidRPr="001222D1">
        <w:rPr>
          <w:szCs w:val="22"/>
        </w:rPr>
        <w:t>The answers below also give suggestions for analytical comments. You could also use these as models for your students.</w:t>
      </w:r>
    </w:p>
    <w:p w:rsidR="00B17AC6" w:rsidRPr="001222D1" w:rsidRDefault="00B17AC6" w:rsidP="001222D1">
      <w:pPr>
        <w:rPr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417"/>
        <w:gridCol w:w="3402"/>
        <w:gridCol w:w="4820"/>
      </w:tblGrid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1-10</w:t>
            </w:r>
          </w:p>
        </w:tc>
        <w:tc>
          <w:tcPr>
            <w:tcW w:w="3402" w:type="dxa"/>
            <w:vAlign w:val="center"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‘We’ll check … against the Article 10s …’ ‘official forms’</w:t>
            </w:r>
          </w:p>
        </w:tc>
        <w:tc>
          <w:tcPr>
            <w:tcW w:w="4820" w:type="dxa"/>
            <w:vAlign w:val="center"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Dry legal language contrasting with the force of nature inside the box.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‘as if someone had punched it, hard, from within’</w:t>
            </w:r>
          </w:p>
        </w:tc>
        <w:tc>
          <w:tcPr>
            <w:tcW w:w="4820" w:type="dxa"/>
            <w:vAlign w:val="center"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Simile reflecting the constrained power of the bird.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11-31</w:t>
            </w: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‘Infinite caution’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Adjectives describing the need for a delicate approach to the operation.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‘She is a conjuring trick.’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 xml:space="preserve">Short sentence, a metaphor describing the </w:t>
            </w:r>
            <w:r w:rsidR="00910D05" w:rsidRPr="001222D1">
              <w:rPr>
                <w:rFonts w:ascii="Trebuchet MS" w:hAnsi="Trebuchet MS"/>
                <w:szCs w:val="22"/>
              </w:rPr>
              <w:t>bird’s magical</w:t>
            </w:r>
            <w:r w:rsidRPr="001222D1">
              <w:rPr>
                <w:rFonts w:ascii="Trebuchet MS" w:hAnsi="Trebuchet MS"/>
                <w:szCs w:val="22"/>
              </w:rPr>
              <w:t xml:space="preserve"> character.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32-45</w:t>
            </w: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‘practised … anchoring … gripping’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Verbs to connote expertise in bird handling.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‘fizzing and fusing’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Alliteration to accentuate the bird’s confusion.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46-48</w:t>
            </w: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‘It was the wrong bird … the smaller one’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Disjointed pattern of short sentences to denote confusion.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</w:t>
            </w:r>
            <w:r w:rsidRPr="001222D1">
              <w:rPr>
                <w:rFonts w:ascii="Trebuchet MS" w:hAnsi="Trebuchet MS"/>
                <w:i/>
                <w:szCs w:val="22"/>
              </w:rPr>
              <w:t>Oh</w:t>
            </w:r>
            <w:r w:rsidRPr="001222D1">
              <w:rPr>
                <w:rFonts w:ascii="Trebuchet MS" w:hAnsi="Trebuchet MS"/>
                <w:szCs w:val="22"/>
              </w:rPr>
              <w:t>.’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Single sentence word – a sound to voice her surprise, trying to understand what’s just happened.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49-65</w:t>
            </w: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‘and darker and … bigger … and the sound…’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Repetitious use of the conjunction to reflect the growing realization that this bird is so different to the first.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</w:t>
            </w:r>
            <w:r w:rsidRPr="001222D1">
              <w:rPr>
                <w:rFonts w:ascii="Trebuchet MS" w:hAnsi="Trebuchet MS"/>
                <w:i/>
                <w:szCs w:val="22"/>
              </w:rPr>
              <w:t>This isn’t my hawk.’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Italicized letters reflecting the internal voice of the writer.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 w:val="restart"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r w:rsidRPr="001222D1">
              <w:rPr>
                <w:rFonts w:ascii="Trebuchet MS" w:hAnsi="Trebuchet MS"/>
                <w:b/>
                <w:sz w:val="24"/>
                <w:szCs w:val="22"/>
              </w:rPr>
              <w:t xml:space="preserve">Lines </w:t>
            </w:r>
            <w:r w:rsidR="001222D1" w:rsidRPr="001222D1">
              <w:rPr>
                <w:rFonts w:ascii="Trebuchet MS" w:hAnsi="Trebuchet MS"/>
                <w:b/>
                <w:sz w:val="24"/>
                <w:szCs w:val="22"/>
              </w:rPr>
              <w:br/>
            </w:r>
            <w:r w:rsidRPr="001222D1">
              <w:rPr>
                <w:rFonts w:ascii="Trebuchet MS" w:hAnsi="Trebuchet MS"/>
                <w:b/>
                <w:sz w:val="24"/>
                <w:szCs w:val="22"/>
              </w:rPr>
              <w:t>66-70</w:t>
            </w: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‘white-faced … wind wrecked’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Compound words describing her sense of derangement.</w:t>
            </w:r>
          </w:p>
        </w:tc>
      </w:tr>
      <w:tr w:rsidR="009F71A0" w:rsidRPr="001222D1" w:rsidTr="001222D1">
        <w:trPr>
          <w:trHeight w:val="992"/>
        </w:trPr>
        <w:tc>
          <w:tcPr>
            <w:tcW w:w="1417" w:type="dxa"/>
            <w:vMerge/>
            <w:shd w:val="clear" w:color="auto" w:fill="B6DDE8" w:themeFill="accent5" w:themeFillTint="66"/>
            <w:vAlign w:val="center"/>
            <w:hideMark/>
          </w:tcPr>
          <w:p w:rsidR="009F71A0" w:rsidRPr="001222D1" w:rsidRDefault="009F71A0" w:rsidP="001222D1">
            <w:pPr>
              <w:ind w:left="113" w:right="113"/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:rsidR="009F71A0" w:rsidRPr="001222D1" w:rsidRDefault="009F71A0" w:rsidP="001222D1">
            <w:pPr>
              <w:ind w:left="113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‘There was a moment of total silence.’</w:t>
            </w:r>
          </w:p>
        </w:tc>
        <w:tc>
          <w:tcPr>
            <w:tcW w:w="4820" w:type="dxa"/>
            <w:vAlign w:val="center"/>
            <w:hideMark/>
          </w:tcPr>
          <w:p w:rsidR="009F71A0" w:rsidRPr="001222D1" w:rsidRDefault="009F71A0" w:rsidP="001222D1">
            <w:pPr>
              <w:ind w:left="57" w:right="113"/>
              <w:rPr>
                <w:rFonts w:ascii="Trebuchet MS" w:hAnsi="Trebuchet MS"/>
                <w:szCs w:val="22"/>
              </w:rPr>
            </w:pPr>
            <w:r w:rsidRPr="001222D1">
              <w:rPr>
                <w:rFonts w:ascii="Trebuchet MS" w:hAnsi="Trebuchet MS"/>
                <w:szCs w:val="22"/>
              </w:rPr>
              <w:t>Use of suspense to iterate the seriousness of the moment.</w:t>
            </w:r>
          </w:p>
        </w:tc>
      </w:tr>
    </w:tbl>
    <w:p w:rsidR="00B17AC6" w:rsidRPr="001222D1" w:rsidRDefault="00B17AC6" w:rsidP="001222D1">
      <w:pPr>
        <w:rPr>
          <w:szCs w:val="22"/>
          <w:lang w:val="en-US"/>
        </w:rPr>
      </w:pPr>
    </w:p>
    <w:sectPr w:rsidR="00B17AC6" w:rsidRPr="001222D1" w:rsidSect="00B55A21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ED" w:rsidRDefault="007356ED" w:rsidP="00B55A21">
      <w:r>
        <w:separator/>
      </w:r>
    </w:p>
  </w:endnote>
  <w:endnote w:type="continuationSeparator" w:id="0">
    <w:p w:rsidR="007356ED" w:rsidRDefault="007356ED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A21" w:rsidRPr="00B55A21" w:rsidRDefault="0078237D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Arial" w:hAnsi="Arial" w:cs="Arial"/>
        <w:color w:val="auto"/>
        <w:sz w:val="20"/>
      </w:rPr>
    </w:pPr>
    <w:r>
      <w:rPr>
        <w:rFonts w:ascii="Arial" w:hAnsi="Arial" w:cs="Arial"/>
        <w:color w:val="auto"/>
        <w:sz w:val="20"/>
      </w:rPr>
      <w:t>© www.teachit</w:t>
    </w:r>
    <w:r w:rsidR="00A73601">
      <w:rPr>
        <w:rFonts w:ascii="Arial" w:hAnsi="Arial" w:cs="Arial"/>
        <w:color w:val="auto"/>
        <w:sz w:val="20"/>
      </w:rPr>
      <w:t>.co.uk 2016</w:t>
    </w:r>
    <w:r w:rsidR="00B55A21" w:rsidRPr="00B55A21">
      <w:rPr>
        <w:rFonts w:ascii="Arial" w:hAnsi="Arial" w:cs="Arial"/>
        <w:color w:val="auto"/>
        <w:sz w:val="20"/>
      </w:rPr>
      <w:tab/>
    </w:r>
    <w:r w:rsidR="001222D1">
      <w:rPr>
        <w:rFonts w:ascii="Arial" w:hAnsi="Arial" w:cs="Arial"/>
        <w:color w:val="auto"/>
        <w:sz w:val="20"/>
      </w:rPr>
      <w:t>26401</w:t>
    </w:r>
    <w:r w:rsidR="00B55A21" w:rsidRPr="00B55A21">
      <w:rPr>
        <w:rFonts w:ascii="Arial" w:hAnsi="Arial" w:cs="Arial"/>
        <w:color w:val="auto"/>
        <w:sz w:val="20"/>
      </w:rPr>
      <w:tab/>
      <w:t xml:space="preserve">Page </w:t>
    </w:r>
    <w:r w:rsidR="00B55A21" w:rsidRPr="00B55A21">
      <w:rPr>
        <w:rFonts w:ascii="Arial" w:hAnsi="Arial" w:cs="Arial"/>
        <w:bCs/>
        <w:color w:val="auto"/>
        <w:sz w:val="20"/>
      </w:rPr>
      <w:fldChar w:fldCharType="begin"/>
    </w:r>
    <w:r w:rsidR="00B55A21" w:rsidRPr="00B55A21">
      <w:rPr>
        <w:rFonts w:ascii="Arial" w:hAnsi="Arial" w:cs="Arial"/>
        <w:bCs/>
        <w:color w:val="auto"/>
        <w:sz w:val="20"/>
      </w:rPr>
      <w:instrText xml:space="preserve"> PAGE  \* Arabic  \* MERGEFORMAT </w:instrText>
    </w:r>
    <w:r w:rsidR="00B55A21" w:rsidRPr="00B55A21">
      <w:rPr>
        <w:rFonts w:ascii="Arial" w:hAnsi="Arial" w:cs="Arial"/>
        <w:bCs/>
        <w:color w:val="auto"/>
        <w:sz w:val="20"/>
      </w:rPr>
      <w:fldChar w:fldCharType="separate"/>
    </w:r>
    <w:r w:rsidR="004F3AC6">
      <w:rPr>
        <w:rFonts w:ascii="Arial" w:hAnsi="Arial" w:cs="Arial"/>
        <w:bCs/>
        <w:noProof/>
        <w:color w:val="auto"/>
        <w:sz w:val="20"/>
      </w:rPr>
      <w:t>1</w:t>
    </w:r>
    <w:r w:rsidR="00B55A21" w:rsidRPr="00B55A21">
      <w:rPr>
        <w:rFonts w:ascii="Arial" w:hAnsi="Arial" w:cs="Arial"/>
        <w:bCs/>
        <w:color w:val="auto"/>
        <w:sz w:val="20"/>
      </w:rPr>
      <w:fldChar w:fldCharType="end"/>
    </w:r>
    <w:r w:rsidR="00B55A21" w:rsidRPr="00B55A21">
      <w:rPr>
        <w:rFonts w:ascii="Arial" w:hAnsi="Arial" w:cs="Arial"/>
        <w:color w:val="auto"/>
        <w:sz w:val="20"/>
      </w:rPr>
      <w:t xml:space="preserve"> of </w:t>
    </w:r>
    <w:r w:rsidR="00B55A21" w:rsidRPr="00B55A21">
      <w:rPr>
        <w:rFonts w:ascii="Arial" w:hAnsi="Arial" w:cs="Arial"/>
        <w:bCs/>
        <w:color w:val="auto"/>
        <w:sz w:val="20"/>
      </w:rPr>
      <w:fldChar w:fldCharType="begin"/>
    </w:r>
    <w:r w:rsidR="00B55A21" w:rsidRPr="00B55A21">
      <w:rPr>
        <w:rFonts w:ascii="Arial" w:hAnsi="Arial" w:cs="Arial"/>
        <w:bCs/>
        <w:color w:val="auto"/>
        <w:sz w:val="20"/>
      </w:rPr>
      <w:instrText xml:space="preserve"> NUMPAGES  \* Arabic  \* MERGEFORMAT </w:instrText>
    </w:r>
    <w:r w:rsidR="00B55A21" w:rsidRPr="00B55A21">
      <w:rPr>
        <w:rFonts w:ascii="Arial" w:hAnsi="Arial" w:cs="Arial"/>
        <w:bCs/>
        <w:color w:val="auto"/>
        <w:sz w:val="20"/>
      </w:rPr>
      <w:fldChar w:fldCharType="separate"/>
    </w:r>
    <w:r w:rsidR="004F3AC6">
      <w:rPr>
        <w:rFonts w:ascii="Arial" w:hAnsi="Arial" w:cs="Arial"/>
        <w:bCs/>
        <w:noProof/>
        <w:color w:val="auto"/>
        <w:sz w:val="20"/>
      </w:rPr>
      <w:t>2</w:t>
    </w:r>
    <w:r w:rsidR="00B55A21" w:rsidRPr="00B55A21">
      <w:rPr>
        <w:rFonts w:ascii="Arial" w:hAnsi="Arial" w:cs="Arial"/>
        <w:bCs/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ED" w:rsidRDefault="007356ED" w:rsidP="00B55A21">
      <w:r>
        <w:separator/>
      </w:r>
    </w:p>
  </w:footnote>
  <w:footnote w:type="continuationSeparator" w:id="0">
    <w:p w:rsidR="007356ED" w:rsidRDefault="007356ED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A21" w:rsidRDefault="00B17AC6" w:rsidP="001222D1">
    <w:pPr>
      <w:pStyle w:val="Header"/>
      <w:pBdr>
        <w:bottom w:val="single" w:sz="4" w:space="1" w:color="auto"/>
      </w:pBdr>
      <w:spacing w:after="120" w:line="240" w:lineRule="auto"/>
      <w:jc w:val="right"/>
      <w:rPr>
        <w:rFonts w:ascii="Arial" w:hAnsi="Arial" w:cs="Arial"/>
        <w:color w:val="auto"/>
        <w:sz w:val="28"/>
      </w:rPr>
    </w:pPr>
    <w:r>
      <w:rPr>
        <w:rFonts w:ascii="Arial" w:hAnsi="Arial" w:cs="Arial"/>
        <w:color w:val="auto"/>
        <w:sz w:val="28"/>
      </w:rPr>
      <w:t xml:space="preserve">Looking at language techniques </w:t>
    </w:r>
  </w:p>
  <w:p w:rsidR="00B17AC6" w:rsidRPr="00B17AC6" w:rsidRDefault="00B17AC6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Arial" w:hAnsi="Arial" w:cs="Arial"/>
        <w:color w:val="auto"/>
        <w:sz w:val="28"/>
      </w:rPr>
    </w:pPr>
    <w:r>
      <w:rPr>
        <w:rFonts w:ascii="Arial" w:hAnsi="Arial" w:cs="Arial"/>
        <w:color w:val="auto"/>
        <w:sz w:val="28"/>
      </w:rPr>
      <w:t xml:space="preserve">Edexcel IGCSE anthology – </w:t>
    </w:r>
    <w:r>
      <w:rPr>
        <w:rFonts w:ascii="Arial" w:hAnsi="Arial" w:cs="Arial"/>
        <w:i/>
        <w:color w:val="auto"/>
        <w:sz w:val="28"/>
      </w:rPr>
      <w:t>H is for Hawk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C6"/>
    <w:rsid w:val="00084B20"/>
    <w:rsid w:val="0009769E"/>
    <w:rsid w:val="001222D1"/>
    <w:rsid w:val="001B4218"/>
    <w:rsid w:val="00270BFA"/>
    <w:rsid w:val="002C33B6"/>
    <w:rsid w:val="00467801"/>
    <w:rsid w:val="004E2F62"/>
    <w:rsid w:val="004F3AC6"/>
    <w:rsid w:val="0059452D"/>
    <w:rsid w:val="00683310"/>
    <w:rsid w:val="007356ED"/>
    <w:rsid w:val="00762FE4"/>
    <w:rsid w:val="00776C0B"/>
    <w:rsid w:val="0078237D"/>
    <w:rsid w:val="00787162"/>
    <w:rsid w:val="007A698F"/>
    <w:rsid w:val="00843822"/>
    <w:rsid w:val="00910D05"/>
    <w:rsid w:val="00915190"/>
    <w:rsid w:val="009F71A0"/>
    <w:rsid w:val="00A12EA1"/>
    <w:rsid w:val="00A73601"/>
    <w:rsid w:val="00AB5045"/>
    <w:rsid w:val="00B17AC6"/>
    <w:rsid w:val="00B55A21"/>
    <w:rsid w:val="00B76C1C"/>
    <w:rsid w:val="00BF7E37"/>
    <w:rsid w:val="00C409A9"/>
    <w:rsid w:val="00E13A52"/>
    <w:rsid w:val="00E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B1EE1F3-A2C6-468E-90C9-8201E4A7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2D1"/>
    <w:pPr>
      <w:shd w:val="clear" w:color="auto" w:fill="DAEEF3" w:themeFill="accent5" w:themeFillTint="33"/>
      <w:spacing w:after="240" w:line="240" w:lineRule="auto"/>
      <w:outlineLvl w:val="0"/>
    </w:pPr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1222D1"/>
    <w:rPr>
      <w:b/>
      <w:color w:val="000000"/>
      <w:sz w:val="24"/>
      <w:szCs w:val="22"/>
      <w:shd w:val="clear" w:color="auto" w:fill="DAEEF3" w:themeFill="accent5" w:themeFillTint="33"/>
      <w:lang w:eastAsia="en-US"/>
    </w:rPr>
  </w:style>
  <w:style w:type="table" w:styleId="TableGrid">
    <w:name w:val="Table Grid"/>
    <w:basedOn w:val="TableNormal"/>
    <w:uiPriority w:val="59"/>
    <w:rsid w:val="00B17AC6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9A9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9A9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A9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1C5F8CF5</Template>
  <TotalTime>0</TotalTime>
  <Pages>2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Ballantyne H C</cp:lastModifiedBy>
  <cp:revision>2</cp:revision>
  <cp:lastPrinted>2016-11-07T08:32:00Z</cp:lastPrinted>
  <dcterms:created xsi:type="dcterms:W3CDTF">2017-10-04T07:15:00Z</dcterms:created>
  <dcterms:modified xsi:type="dcterms:W3CDTF">2017-10-04T07:15:00Z</dcterms:modified>
</cp:coreProperties>
</file>